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6D" w:rsidRDefault="0086456D" w:rsidP="0086456D">
      <w:pPr>
        <w:pStyle w:val="western"/>
        <w:jc w:val="center"/>
      </w:pPr>
      <w:r>
        <w:rPr>
          <w:b/>
          <w:bCs/>
          <w:sz w:val="22"/>
          <w:szCs w:val="22"/>
        </w:rPr>
        <w:t xml:space="preserve">Мероприятия в области энергосбережения и снижения размеров потерь в сетях </w:t>
      </w:r>
    </w:p>
    <w:p w:rsidR="0086456D" w:rsidRDefault="0086456D" w:rsidP="0086456D">
      <w:pPr>
        <w:pStyle w:val="western"/>
        <w:jc w:val="center"/>
      </w:pPr>
      <w:r>
        <w:rPr>
          <w:b/>
          <w:bCs/>
          <w:color w:val="000000"/>
          <w:sz w:val="22"/>
          <w:szCs w:val="22"/>
        </w:rPr>
        <w:t>ООО «Промэнергосеть» на 201</w:t>
      </w:r>
      <w:r w:rsidR="00BD7A03">
        <w:rPr>
          <w:b/>
          <w:bCs/>
          <w:color w:val="000000"/>
          <w:sz w:val="22"/>
          <w:szCs w:val="22"/>
        </w:rPr>
        <w:t>8</w:t>
      </w:r>
      <w:r>
        <w:rPr>
          <w:b/>
          <w:bCs/>
          <w:color w:val="000000"/>
          <w:sz w:val="22"/>
          <w:szCs w:val="22"/>
        </w:rPr>
        <w:t xml:space="preserve"> год.</w:t>
      </w:r>
      <w:r>
        <w:rPr>
          <w:sz w:val="22"/>
          <w:szCs w:val="22"/>
        </w:rPr>
        <w:t xml:space="preserve"> </w:t>
      </w:r>
    </w:p>
    <w:p w:rsidR="0086456D" w:rsidRDefault="0086456D" w:rsidP="0086456D">
      <w:pPr>
        <w:pStyle w:val="western"/>
      </w:pPr>
      <w:r>
        <w:rPr>
          <w:color w:val="000000"/>
          <w:sz w:val="22"/>
          <w:szCs w:val="22"/>
        </w:rPr>
        <w:t>ООО «Промэнергосеть» реализует программу энергосбережения и снижения размеров потерь в распределительных электрических сетях на 201</w:t>
      </w:r>
      <w:r w:rsidR="00BD7A03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г, </w:t>
      </w:r>
      <w:proofErr w:type="gramStart"/>
      <w:r>
        <w:rPr>
          <w:color w:val="000000"/>
          <w:sz w:val="22"/>
          <w:szCs w:val="22"/>
        </w:rPr>
        <w:t>которая</w:t>
      </w:r>
      <w:proofErr w:type="gramEnd"/>
      <w:r>
        <w:rPr>
          <w:color w:val="000000"/>
          <w:sz w:val="22"/>
          <w:szCs w:val="22"/>
        </w:rPr>
        <w:t xml:space="preserve"> включает в себя следующие основные организационные и технические мероприятия:</w:t>
      </w:r>
      <w:r>
        <w:rPr>
          <w:sz w:val="22"/>
          <w:szCs w:val="22"/>
        </w:rPr>
        <w:t xml:space="preserve"> </w:t>
      </w:r>
    </w:p>
    <w:p w:rsidR="0086456D" w:rsidRDefault="0086456D" w:rsidP="0086456D">
      <w:pPr>
        <w:pStyle w:val="western"/>
      </w:pPr>
      <w:r>
        <w:rPr>
          <w:b/>
          <w:bCs/>
          <w:color w:val="000000"/>
          <w:sz w:val="22"/>
          <w:szCs w:val="22"/>
        </w:rPr>
        <w:t>1. Технические мероприятия.</w:t>
      </w:r>
      <w:r>
        <w:rPr>
          <w:b/>
          <w:bCs/>
          <w:sz w:val="22"/>
          <w:szCs w:val="22"/>
        </w:rPr>
        <w:t xml:space="preserve"> </w:t>
      </w:r>
    </w:p>
    <w:p w:rsidR="0086456D" w:rsidRDefault="0086456D" w:rsidP="0086456D">
      <w:pPr>
        <w:pStyle w:val="western"/>
        <w:numPr>
          <w:ilvl w:val="0"/>
          <w:numId w:val="1"/>
        </w:numPr>
      </w:pPr>
      <w:r>
        <w:rPr>
          <w:color w:val="000000"/>
          <w:sz w:val="22"/>
          <w:szCs w:val="22"/>
        </w:rPr>
        <w:t xml:space="preserve">Проведение замеров загрузки силовых трансформаторов, для проведения анализа загрузки трансформаторов с целью выявления недогруженных и перегруженных трансформаторов и равномерности загрузки по фазам. </w:t>
      </w:r>
      <w:r>
        <w:rPr>
          <w:sz w:val="22"/>
          <w:szCs w:val="22"/>
        </w:rPr>
        <w:t>Исключение перегруза трансформаторов (замена силовых трансформаторов в трансформаторных подстанциях);</w:t>
      </w:r>
    </w:p>
    <w:p w:rsidR="0086456D" w:rsidRDefault="0086456D" w:rsidP="0086456D">
      <w:pPr>
        <w:pStyle w:val="western"/>
        <w:numPr>
          <w:ilvl w:val="0"/>
          <w:numId w:val="1"/>
        </w:numPr>
      </w:pPr>
      <w:r>
        <w:rPr>
          <w:sz w:val="22"/>
          <w:szCs w:val="22"/>
        </w:rPr>
        <w:t xml:space="preserve">Выполнение замеров потерь </w:t>
      </w:r>
      <w:proofErr w:type="spellStart"/>
      <w:r>
        <w:rPr>
          <w:sz w:val="22"/>
          <w:szCs w:val="22"/>
        </w:rPr>
        <w:t>х.х</w:t>
      </w:r>
      <w:proofErr w:type="spellEnd"/>
      <w:r>
        <w:rPr>
          <w:sz w:val="22"/>
          <w:szCs w:val="22"/>
        </w:rPr>
        <w:t>. силовых трансформаторов ООО "Промэнергосеть"</w:t>
      </w:r>
    </w:p>
    <w:p w:rsidR="0086456D" w:rsidRDefault="0086456D" w:rsidP="0086456D">
      <w:pPr>
        <w:pStyle w:val="western"/>
        <w:numPr>
          <w:ilvl w:val="0"/>
          <w:numId w:val="1"/>
        </w:numPr>
      </w:pPr>
      <w:r>
        <w:rPr>
          <w:sz w:val="22"/>
          <w:szCs w:val="22"/>
        </w:rPr>
        <w:t xml:space="preserve">Исключение перегруза длинных участков распределительных сетей; </w:t>
      </w:r>
      <w:r>
        <w:rPr>
          <w:color w:val="000000"/>
          <w:sz w:val="22"/>
          <w:szCs w:val="22"/>
        </w:rPr>
        <w:t>Выравнивание нагрузки по фазам на фидерах 0,4кВ</w:t>
      </w:r>
    </w:p>
    <w:p w:rsidR="0086456D" w:rsidRDefault="0086456D" w:rsidP="0086456D">
      <w:pPr>
        <w:pStyle w:val="western"/>
        <w:numPr>
          <w:ilvl w:val="0"/>
          <w:numId w:val="1"/>
        </w:numPr>
      </w:pPr>
      <w:r>
        <w:rPr>
          <w:sz w:val="22"/>
          <w:szCs w:val="22"/>
        </w:rPr>
        <w:t xml:space="preserve">Установка (замена) </w:t>
      </w:r>
      <w:proofErr w:type="spellStart"/>
      <w:r>
        <w:rPr>
          <w:sz w:val="22"/>
          <w:szCs w:val="22"/>
        </w:rPr>
        <w:t>пофидерного</w:t>
      </w:r>
      <w:proofErr w:type="spellEnd"/>
      <w:r>
        <w:rPr>
          <w:sz w:val="22"/>
          <w:szCs w:val="22"/>
        </w:rPr>
        <w:t xml:space="preserve"> учета на ТП.</w:t>
      </w:r>
    </w:p>
    <w:p w:rsidR="0086456D" w:rsidRDefault="0086456D" w:rsidP="0086456D">
      <w:pPr>
        <w:pStyle w:val="western"/>
        <w:numPr>
          <w:ilvl w:val="0"/>
          <w:numId w:val="1"/>
        </w:numPr>
      </w:pPr>
      <w:r>
        <w:rPr>
          <w:sz w:val="22"/>
          <w:szCs w:val="22"/>
        </w:rPr>
        <w:t>Установка приборов контролирующих мощность бытовым потребителям подозреваемых в воровстве</w:t>
      </w:r>
    </w:p>
    <w:p w:rsidR="0086456D" w:rsidRDefault="0086456D" w:rsidP="0086456D">
      <w:pPr>
        <w:pStyle w:val="western"/>
        <w:numPr>
          <w:ilvl w:val="0"/>
          <w:numId w:val="1"/>
        </w:numPr>
      </w:pPr>
      <w:r>
        <w:rPr>
          <w:sz w:val="22"/>
          <w:szCs w:val="22"/>
        </w:rPr>
        <w:t>Установка контрольных выносных шкафов учета на дома граждан – потребителей</w:t>
      </w:r>
    </w:p>
    <w:p w:rsidR="0086456D" w:rsidRDefault="0086456D" w:rsidP="0086456D">
      <w:pPr>
        <w:pStyle w:val="western"/>
        <w:numPr>
          <w:ilvl w:val="0"/>
          <w:numId w:val="1"/>
        </w:numPr>
      </w:pPr>
      <w:r>
        <w:rPr>
          <w:sz w:val="22"/>
          <w:szCs w:val="22"/>
        </w:rPr>
        <w:t xml:space="preserve">Замена воздушных ответвлений и вводов в дома бытовых потребителей на изолированный кабель, установка узлов учета на границе балансовой принадлежности </w:t>
      </w:r>
    </w:p>
    <w:p w:rsidR="0086456D" w:rsidRDefault="0086456D" w:rsidP="0086456D">
      <w:pPr>
        <w:pStyle w:val="western"/>
        <w:numPr>
          <w:ilvl w:val="0"/>
          <w:numId w:val="1"/>
        </w:numPr>
        <w:spacing w:after="0" w:afterAutospacing="0"/>
      </w:pPr>
      <w:r>
        <w:rPr>
          <w:sz w:val="22"/>
          <w:szCs w:val="22"/>
        </w:rPr>
        <w:t>Выполнение технических мероприятий исключающих возможность самовольного подключения БП и ЮЛ</w:t>
      </w:r>
    </w:p>
    <w:p w:rsidR="0086456D" w:rsidRDefault="0086456D" w:rsidP="0086456D">
      <w:pPr>
        <w:pStyle w:val="western"/>
        <w:numPr>
          <w:ilvl w:val="0"/>
          <w:numId w:val="1"/>
        </w:numPr>
        <w:spacing w:after="0" w:afterAutospacing="0"/>
      </w:pPr>
      <w:r>
        <w:rPr>
          <w:sz w:val="22"/>
          <w:szCs w:val="22"/>
        </w:rPr>
        <w:t>Замена проводов на большее сечение с целью уменьшения технических потерь и доведения до нормы показателей качества э/э</w:t>
      </w:r>
    </w:p>
    <w:p w:rsidR="0086456D" w:rsidRDefault="0086456D" w:rsidP="0086456D">
      <w:pPr>
        <w:pStyle w:val="western"/>
        <w:spacing w:after="0" w:afterAutospacing="0"/>
        <w:ind w:left="709" w:hanging="284"/>
      </w:pPr>
    </w:p>
    <w:p w:rsidR="0086456D" w:rsidRDefault="0086456D" w:rsidP="0086456D">
      <w:pPr>
        <w:pStyle w:val="western"/>
      </w:pPr>
      <w:r>
        <w:rPr>
          <w:b/>
          <w:bCs/>
          <w:color w:val="000000"/>
          <w:sz w:val="22"/>
          <w:szCs w:val="22"/>
        </w:rPr>
        <w:t>2. Организационные мероприятия:</w:t>
      </w:r>
      <w:r>
        <w:rPr>
          <w:b/>
          <w:bCs/>
          <w:sz w:val="22"/>
          <w:szCs w:val="22"/>
        </w:rPr>
        <w:t xml:space="preserve"> </w:t>
      </w:r>
    </w:p>
    <w:p w:rsidR="0086456D" w:rsidRDefault="0086456D" w:rsidP="0086456D">
      <w:pPr>
        <w:pStyle w:val="western"/>
        <w:numPr>
          <w:ilvl w:val="0"/>
          <w:numId w:val="2"/>
        </w:numPr>
      </w:pPr>
      <w:r>
        <w:rPr>
          <w:sz w:val="22"/>
          <w:szCs w:val="22"/>
        </w:rPr>
        <w:t>составление баланса по сквозным фидерам, проведение анализа;</w:t>
      </w:r>
    </w:p>
    <w:p w:rsidR="0086456D" w:rsidRDefault="0086456D" w:rsidP="0086456D">
      <w:pPr>
        <w:pStyle w:val="western"/>
        <w:numPr>
          <w:ilvl w:val="0"/>
          <w:numId w:val="2"/>
        </w:numPr>
      </w:pPr>
      <w:r>
        <w:rPr>
          <w:sz w:val="22"/>
          <w:szCs w:val="22"/>
        </w:rPr>
        <w:t>составление балансов по ТП с общим контрольным учетом, проведение анализа;</w:t>
      </w:r>
    </w:p>
    <w:p w:rsidR="0086456D" w:rsidRDefault="0086456D" w:rsidP="0086456D">
      <w:pPr>
        <w:pStyle w:val="western"/>
        <w:numPr>
          <w:ilvl w:val="0"/>
          <w:numId w:val="2"/>
        </w:numPr>
      </w:pPr>
      <w:r>
        <w:rPr>
          <w:sz w:val="22"/>
          <w:szCs w:val="22"/>
        </w:rPr>
        <w:t xml:space="preserve">составление балансов по фидерам 0,4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оснащенных контрольным прибором учета, проведение анализа;</w:t>
      </w:r>
    </w:p>
    <w:p w:rsidR="0086456D" w:rsidRDefault="0086456D" w:rsidP="0086456D">
      <w:pPr>
        <w:pStyle w:val="western"/>
        <w:numPr>
          <w:ilvl w:val="0"/>
          <w:numId w:val="2"/>
        </w:numPr>
      </w:pPr>
      <w:r>
        <w:rPr>
          <w:sz w:val="22"/>
          <w:szCs w:val="22"/>
        </w:rPr>
        <w:t xml:space="preserve">проведение анализа причин небалансов по фидерам 0,4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с наибольшим небалансом.</w:t>
      </w:r>
    </w:p>
    <w:p w:rsidR="0086456D" w:rsidRDefault="0086456D" w:rsidP="0086456D">
      <w:pPr>
        <w:pStyle w:val="western"/>
        <w:numPr>
          <w:ilvl w:val="0"/>
          <w:numId w:val="2"/>
        </w:numPr>
      </w:pPr>
      <w:r>
        <w:rPr>
          <w:sz w:val="22"/>
          <w:szCs w:val="22"/>
        </w:rPr>
        <w:t xml:space="preserve">разработка индивидуальной программы обследования фидеров 0,4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с наибольшим небалансом.</w:t>
      </w:r>
    </w:p>
    <w:p w:rsidR="0086456D" w:rsidRDefault="0086456D" w:rsidP="0086456D">
      <w:pPr>
        <w:pStyle w:val="western"/>
        <w:numPr>
          <w:ilvl w:val="0"/>
          <w:numId w:val="2"/>
        </w:numPr>
      </w:pPr>
      <w:r>
        <w:rPr>
          <w:sz w:val="22"/>
          <w:szCs w:val="22"/>
        </w:rPr>
        <w:t>согласование структуры отпуска электроэнергии в части достоверности формирования полезного отпуска по группам потребителей совместно с гарантирующим поставщиком (сбытовой организацией);</w:t>
      </w:r>
    </w:p>
    <w:p w:rsidR="0086456D" w:rsidRDefault="0086456D" w:rsidP="0086456D">
      <w:pPr>
        <w:pStyle w:val="western"/>
        <w:numPr>
          <w:ilvl w:val="0"/>
          <w:numId w:val="2"/>
        </w:numPr>
      </w:pPr>
      <w:r>
        <w:rPr>
          <w:sz w:val="22"/>
          <w:szCs w:val="22"/>
        </w:rPr>
        <w:t>внедрение базы данных потребителей совместно с гарантирующим поставщиком (сбытовой организацией).</w:t>
      </w:r>
    </w:p>
    <w:p w:rsidR="0086456D" w:rsidRDefault="0086456D" w:rsidP="0086456D">
      <w:pPr>
        <w:pStyle w:val="western"/>
      </w:pPr>
      <w:r>
        <w:rPr>
          <w:b/>
          <w:bCs/>
          <w:i/>
          <w:iCs/>
        </w:rPr>
        <w:t>Перечисленные мероприятия реализуются ООО «Промэнергосеть» в течение 201</w:t>
      </w:r>
      <w:r w:rsidR="00BD7A03">
        <w:rPr>
          <w:b/>
          <w:bCs/>
          <w:i/>
          <w:iCs/>
        </w:rPr>
        <w:t>8г.</w:t>
      </w:r>
      <w:bookmarkStart w:id="0" w:name="_GoBack"/>
      <w:bookmarkEnd w:id="0"/>
    </w:p>
    <w:p w:rsidR="0086456D" w:rsidRDefault="0086456D" w:rsidP="0086456D">
      <w:pPr>
        <w:pStyle w:val="western"/>
      </w:pPr>
      <w:r>
        <w:rPr>
          <w:b/>
          <w:bCs/>
          <w:i/>
          <w:iCs/>
        </w:rPr>
        <w:t>Источник финансирования мероприятий — собственные средства Общества</w:t>
      </w:r>
    </w:p>
    <w:p w:rsidR="0086456D" w:rsidRDefault="0086456D" w:rsidP="0086456D">
      <w:pPr>
        <w:pStyle w:val="western"/>
        <w:ind w:left="709" w:hanging="284"/>
      </w:pPr>
    </w:p>
    <w:p w:rsidR="00440198" w:rsidRDefault="00440198"/>
    <w:sectPr w:rsidR="0044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8E7"/>
    <w:multiLevelType w:val="multilevel"/>
    <w:tmpl w:val="CEE4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124BA"/>
    <w:multiLevelType w:val="multilevel"/>
    <w:tmpl w:val="5E30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6D"/>
    <w:rsid w:val="00440198"/>
    <w:rsid w:val="0086456D"/>
    <w:rsid w:val="00B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6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6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2017-04-27T07:17:00Z</dcterms:created>
  <dcterms:modified xsi:type="dcterms:W3CDTF">2018-03-01T07:58:00Z</dcterms:modified>
</cp:coreProperties>
</file>