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76" w:rsidRPr="00AC0876" w:rsidRDefault="00AC0876" w:rsidP="00B929B9">
      <w:pPr>
        <w:pStyle w:val="a3"/>
        <w:rPr>
          <w:rFonts w:eastAsia="Times New Roman"/>
          <w:lang w:eastAsia="ru-RU"/>
        </w:rPr>
      </w:pPr>
      <w:r w:rsidRPr="00AC0876">
        <w:rPr>
          <w:rFonts w:eastAsia="Times New Roman"/>
          <w:lang w:eastAsia="ru-RU"/>
        </w:rPr>
        <w:t>Паспорт услуги технологического присоединения посредством перераспределения максимальной мощности</w:t>
      </w:r>
    </w:p>
    <w:p w:rsidR="00AC0876" w:rsidRPr="00AC0876" w:rsidRDefault="00990E6E" w:rsidP="00B929B9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C0876" w:rsidRPr="00AC0876" w:rsidRDefault="00AC0876" w:rsidP="00B929B9">
      <w:pPr>
        <w:pStyle w:val="a3"/>
        <w:rPr>
          <w:rFonts w:eastAsia="Times New Roman"/>
          <w:sz w:val="24"/>
          <w:szCs w:val="24"/>
          <w:lang w:eastAsia="ru-RU"/>
        </w:rPr>
      </w:pPr>
      <w:r w:rsidRPr="00AC0876">
        <w:rPr>
          <w:rFonts w:eastAsia="Times New Roman"/>
          <w:color w:val="000000"/>
          <w:sz w:val="18"/>
          <w:szCs w:val="18"/>
          <w:lang w:eastAsia="ru-RU"/>
        </w:rPr>
        <w:t>ПАСПОРТ УСЛУГИ (ПРОЦЕССА) СЕТЕВОЙ ОРГАНИЗАЦИИ</w:t>
      </w:r>
    </w:p>
    <w:p w:rsidR="00AC0876" w:rsidRPr="00AC0876" w:rsidRDefault="00CB7188" w:rsidP="00B929B9">
      <w:pPr>
        <w:pStyle w:val="a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color w:val="000000"/>
          <w:sz w:val="18"/>
          <w:szCs w:val="18"/>
          <w:lang w:eastAsia="ru-RU"/>
        </w:rPr>
        <w:t>ООО «</w:t>
      </w:r>
      <w:proofErr w:type="spellStart"/>
      <w:r>
        <w:rPr>
          <w:rFonts w:eastAsia="Times New Roman"/>
          <w:color w:val="000000"/>
          <w:sz w:val="18"/>
          <w:szCs w:val="18"/>
          <w:lang w:eastAsia="ru-RU"/>
        </w:rPr>
        <w:t>Промэнергосеть</w:t>
      </w:r>
      <w:proofErr w:type="spellEnd"/>
      <w:r>
        <w:rPr>
          <w:rFonts w:eastAsia="Times New Roman"/>
          <w:color w:val="000000"/>
          <w:sz w:val="18"/>
          <w:szCs w:val="18"/>
          <w:lang w:eastAsia="ru-RU"/>
        </w:rPr>
        <w:t>»</w:t>
      </w:r>
    </w:p>
    <w:p w:rsidR="00AC0876" w:rsidRPr="00AC0876" w:rsidRDefault="00AC0876" w:rsidP="00B929B9">
      <w:pPr>
        <w:pStyle w:val="a3"/>
        <w:rPr>
          <w:rFonts w:eastAsia="Times New Roman"/>
          <w:sz w:val="24"/>
          <w:szCs w:val="24"/>
          <w:lang w:eastAsia="ru-RU"/>
        </w:rPr>
      </w:pPr>
      <w:r w:rsidRPr="00AC0876">
        <w:rPr>
          <w:rFonts w:eastAsia="Times New Roman"/>
          <w:color w:val="000000"/>
          <w:sz w:val="18"/>
          <w:szCs w:val="18"/>
          <w:lang w:eastAsia="ru-RU"/>
        </w:rPr>
        <w:t>Технологическое присоединение к электрическим сетям сетевой организации посредством перераспределения максимальной мощности между юридическими лицами и индивидуальными предпринимателями (в том числе опосредованное присоединение).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Круг заявителей:</w:t>
      </w: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Юридические лица, индивидуальные предприниматели.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>Размер платы за предоставление услуги (процесса) и основание ее взимания.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</w:t>
      </w:r>
      <w:r w:rsidRPr="00B929B9">
        <w:rPr>
          <w:rFonts w:ascii="Times New Roman" w:eastAsia="Times New Roman" w:hAnsi="Times New Roman" w:cs="Times New Roman"/>
          <w:b/>
          <w:bCs/>
          <w:color w:val="000000"/>
          <w:sz w:val="20"/>
          <w:szCs w:val="18"/>
          <w:lang w:eastAsia="ru-RU"/>
        </w:rPr>
        <w:t>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Услуги оказываются на основании «Правил технологического присоединения </w:t>
      </w:r>
      <w:proofErr w:type="spell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u w:val="single"/>
          <w:lang w:eastAsia="ru-RU"/>
        </w:rPr>
        <w:t xml:space="preserve">Условия оказания услуги (процесса): 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1) </w:t>
      </w: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Наличие заявки от заявителя на технологическое присоединение к электрическим сетям сетевой организации посредством перераспределения максимальной мощности (в том числе опосредованное присоединение).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Результат оказания услуги (процесса): Технологическое присоединение </w:t>
      </w:r>
      <w:proofErr w:type="spell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устройств заявителя, посредством перераспределения максимальной мощности (в том числе опосредованное присоединение).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Общий срок оказания услуги (процесса): </w:t>
      </w:r>
    </w:p>
    <w:p w:rsidR="00AC0876" w:rsidRPr="00B929B9" w:rsidRDefault="00AC0876" w:rsidP="00AC0876">
      <w:pPr>
        <w:spacing w:before="100" w:beforeAutospacing="1" w:after="0" w:line="240" w:lineRule="auto"/>
        <w:ind w:firstLine="23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В случае</w:t>
      </w:r>
      <w:proofErr w:type="gram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,</w:t>
      </w:r>
      <w:proofErr w:type="gramEnd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если </w:t>
      </w:r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технологическое присоединение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 лиц, в пользу которых предполагается перераспределить максимальную мощность, осуществляется к электрическим сетям классом напряжения до 20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кВ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энергопринимающие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устройства, составляет не более 300 метров в городах и поселках городского типа и не более 500 метров в </w:t>
      </w:r>
      <w:proofErr w:type="gram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сельской местности и если в соответствии с техническими условиями сетевой организации не требуется выполнения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энергопринимающих</w:t>
      </w:r>
      <w:proofErr w:type="spellEnd"/>
      <w:proofErr w:type="gram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 потребителя и (или) объектов электроэнергетики, срок осуществления мероприятий не может превышать:</w:t>
      </w:r>
    </w:p>
    <w:p w:rsidR="00AC0876" w:rsidRPr="00B929B9" w:rsidRDefault="00AC0876" w:rsidP="00AC08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120 дней рабочих дней (для заявителей, максимальная мощность </w:t>
      </w:r>
      <w:proofErr w:type="spell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устройств которых составляет до 670 кВт).</w:t>
      </w:r>
    </w:p>
    <w:p w:rsidR="00AC0876" w:rsidRPr="00B929B9" w:rsidRDefault="00AC0876" w:rsidP="00AC0876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1 год (для заявителей, максимальная мощность </w:t>
      </w:r>
      <w:proofErr w:type="spell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 устройств которых составляет свыше 670 кВт). </w:t>
      </w:r>
    </w:p>
    <w:p w:rsidR="00AC0876" w:rsidRPr="00B929B9" w:rsidRDefault="00AC0876" w:rsidP="00AC0876">
      <w:pPr>
        <w:spacing w:before="100" w:beforeAutospacing="1" w:after="0" w:line="240" w:lineRule="auto"/>
        <w:ind w:firstLine="24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lastRenderedPageBreak/>
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следующие сроки:</w:t>
      </w:r>
    </w:p>
    <w:p w:rsidR="00AC0876" w:rsidRPr="00B929B9" w:rsidRDefault="00AC0876" w:rsidP="00AC08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6 месяцев, </w:t>
      </w:r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если технологическое присоединение осуществляется к электрическим сетям, уровень напряжения которых составляет до 20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кВ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энергопринимающие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устройства, составляет не более 300 метров в городах и поселках городского типа и не более 500 метров в сельской местности;</w:t>
      </w:r>
      <w:proofErr w:type="gramEnd"/>
    </w:p>
    <w:p w:rsidR="00AC0876" w:rsidRPr="00B929B9" w:rsidRDefault="00AC0876" w:rsidP="00AC08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1 год - для заявителей, максимальная мощность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</w:r>
    </w:p>
    <w:p w:rsidR="00AC0876" w:rsidRPr="00B929B9" w:rsidRDefault="00AC0876" w:rsidP="00AC0876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2 года - для заявителей, максимальная мощность 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>энергопринимающих</w:t>
      </w:r>
      <w:proofErr w:type="spellEnd"/>
      <w:r w:rsidRPr="00B929B9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Состав, последовательность и сроки оказания услуги (процесса):</w:t>
      </w:r>
    </w:p>
    <w:p w:rsidR="00AC0876" w:rsidRPr="00AC0876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779" w:type="pct"/>
        <w:tblCellSpacing w:w="0" w:type="dxa"/>
        <w:tblInd w:w="-1246" w:type="dxa"/>
        <w:tblBorders>
          <w:top w:val="outset" w:sz="6" w:space="0" w:color="836967"/>
          <w:left w:val="outset" w:sz="6" w:space="0" w:color="836967"/>
          <w:bottom w:val="outset" w:sz="6" w:space="0" w:color="836967"/>
          <w:right w:val="outset" w:sz="6" w:space="0" w:color="83696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"/>
        <w:gridCol w:w="1695"/>
        <w:gridCol w:w="3108"/>
        <w:gridCol w:w="1515"/>
        <w:gridCol w:w="1515"/>
        <w:gridCol w:w="2625"/>
      </w:tblGrid>
      <w:tr w:rsidR="00AC0876" w:rsidRPr="00AC0876" w:rsidTr="00B929B9">
        <w:trPr>
          <w:tblCellSpacing w:w="0" w:type="dxa"/>
        </w:trPr>
        <w:tc>
          <w:tcPr>
            <w:tcW w:w="195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 xml:space="preserve">N </w:t>
            </w:r>
            <w:proofErr w:type="gramStart"/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п</w:t>
            </w:r>
            <w:proofErr w:type="gramEnd"/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/п</w:t>
            </w:r>
          </w:p>
        </w:tc>
        <w:tc>
          <w:tcPr>
            <w:tcW w:w="779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Этап</w:t>
            </w: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Содержание/условия этапа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Форма предоставления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Срок исполнения</w:t>
            </w:r>
          </w:p>
        </w:tc>
        <w:tc>
          <w:tcPr>
            <w:tcW w:w="120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B929B9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B929B9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6"/>
                <w:lang w:eastAsia="ru-RU"/>
              </w:rPr>
              <w:t>Ссылка на нормативный правовой акт</w:t>
            </w: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Направление заявления на услугу от собственника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</w:t>
            </w: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Получение заявления на услугу от собственника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запрос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день</w:t>
            </w:r>
          </w:p>
        </w:tc>
        <w:tc>
          <w:tcPr>
            <w:tcW w:w="120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«Правила технологического присоединения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 собственнику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</w:t>
            </w: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Подготовка договора и технических условий на технологическое присоединение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устройств заявителя. 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календарных дней со дня получения заявления</w:t>
            </w:r>
          </w:p>
        </w:tc>
        <w:tc>
          <w:tcPr>
            <w:tcW w:w="1206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«Правила технологического присоединения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Подготовка запроса о недостающих сведениях и документах к заявлению на технологическое присоединение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устройств посредством перераспределения максимальной мощности (в том числе опосредованное присоединение)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 рабочих дней со дня получения заявления</w:t>
            </w: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Подготовка договора и технических условий на технологическое присоединение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устройств заявителя, </w:t>
            </w:r>
            <w:proofErr w:type="gramStart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</w:t>
            </w:r>
            <w:proofErr w:type="gramEnd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gramStart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получение</w:t>
            </w:r>
            <w:proofErr w:type="gramEnd"/>
            <w:r w:rsidRPr="00AC087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всех необходимых сведений и недостающих документов к заявке 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Письменный ответ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календарных дней со дня получения заявления</w:t>
            </w: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Оплата услуги</w:t>
            </w:r>
          </w:p>
        </w:tc>
        <w:tc>
          <w:tcPr>
            <w:tcW w:w="1428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Направление заявителю счета на оплату услуги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Счет на оплату услуг по договору технологического присоединения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 рабочих дней со дня получения заявления</w:t>
            </w:r>
          </w:p>
        </w:tc>
        <w:tc>
          <w:tcPr>
            <w:tcW w:w="120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«Основные положения функционирования розничных рынков электрической энергии», утв. Постановлением Правительства РФ №442 от 04.05.2012г.</w:t>
            </w: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79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услуги</w:t>
            </w:r>
          </w:p>
        </w:tc>
        <w:tc>
          <w:tcPr>
            <w:tcW w:w="1428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Оказание сетевой организацией услуги по технологическому присоединению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заявителя посредством перераспределения максимальной мощности (в том числе опосредованное присоединение).</w:t>
            </w:r>
          </w:p>
        </w:tc>
        <w:tc>
          <w:tcPr>
            <w:tcW w:w="696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Выполнение работ, не требующих строительства (реконструкции) объектов электросетевого хозяйства, включенных (подлежащих включению) в инвестиционные программы сетевых орган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изаций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 том числе смежных сетевых организаций) и (или) </w:t>
            </w: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и (или) объектов электроэнергетики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120 рабочих дней (если максимальная мощность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заявителя до 670 кВт)</w:t>
            </w:r>
          </w:p>
        </w:tc>
        <w:tc>
          <w:tcPr>
            <w:tcW w:w="1206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«Правила технологического присоединения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утв. Постановлением Правительства РФ от 27.12.2004г. № 861 </w:t>
            </w: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Default="00AC0876" w:rsidP="00B929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год (если максимальная мощность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заявителя свыше 670 кВт)</w:t>
            </w:r>
          </w:p>
          <w:p w:rsidR="00B929B9" w:rsidRDefault="00B929B9" w:rsidP="00B9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29B9" w:rsidRDefault="00B929B9" w:rsidP="00B9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29B9" w:rsidRPr="00AC0876" w:rsidRDefault="00B929B9" w:rsidP="00B929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 w:val="restar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Выполнение работ в иных случаях</w:t>
            </w: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месяцев (если </w:t>
            </w:r>
            <w:proofErr w:type="spellStart"/>
            <w:proofErr w:type="gram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если</w:t>
            </w:r>
            <w:proofErr w:type="spellEnd"/>
            <w:proofErr w:type="gram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расстояние от существующих электрических сетей необходимого класса напряжения до границ участка заявителя, составляет не более 300 метров в городах и поселках городского типа и не более 500 метров в сельской местности </w:t>
            </w: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год (если максимальная мощность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устройств менее 670 кВт)</w:t>
            </w: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876" w:rsidRPr="00AC0876" w:rsidTr="00B929B9">
        <w:trPr>
          <w:tblCellSpacing w:w="0" w:type="dxa"/>
        </w:trPr>
        <w:tc>
          <w:tcPr>
            <w:tcW w:w="195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года (если максимальная мощность </w:t>
            </w:r>
            <w:proofErr w:type="spellStart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энергопринимающих</w:t>
            </w:r>
            <w:proofErr w:type="spellEnd"/>
            <w:r w:rsidRPr="00AC08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670 кВт)</w:t>
            </w:r>
          </w:p>
        </w:tc>
        <w:tc>
          <w:tcPr>
            <w:tcW w:w="1206" w:type="pct"/>
            <w:vMerge/>
            <w:tcBorders>
              <w:top w:val="outset" w:sz="6" w:space="0" w:color="836967"/>
              <w:left w:val="outset" w:sz="6" w:space="0" w:color="836967"/>
              <w:bottom w:val="outset" w:sz="6" w:space="0" w:color="836967"/>
              <w:right w:val="outset" w:sz="6" w:space="0" w:color="836967"/>
            </w:tcBorders>
            <w:vAlign w:val="center"/>
            <w:hideMark/>
          </w:tcPr>
          <w:p w:rsidR="00AC0876" w:rsidRPr="00AC0876" w:rsidRDefault="00AC0876" w:rsidP="00AC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29B9" w:rsidRDefault="00B929B9" w:rsidP="00AC0876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AC0876" w:rsidRPr="00B929B9" w:rsidRDefault="00AC0876" w:rsidP="00AC0876">
      <w:pPr>
        <w:spacing w:before="57"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Контактная информация для направления обращений:</w:t>
      </w:r>
    </w:p>
    <w:p w:rsidR="00CB7188" w:rsidRPr="00B929B9" w:rsidRDefault="00CB7188" w:rsidP="00CB71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929B9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Общество с ограниченной ответственностью </w:t>
      </w:r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«</w:t>
      </w:r>
      <w:proofErr w:type="spellStart"/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Промэнергосеть</w:t>
      </w:r>
      <w:bookmarkStart w:id="0" w:name="_GoBack"/>
      <w:bookmarkEnd w:id="0"/>
      <w:proofErr w:type="spellEnd"/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»</w:t>
      </w:r>
    </w:p>
    <w:p w:rsidR="00CB7188" w:rsidRPr="00B929B9" w:rsidRDefault="00CB7188" w:rsidP="00CB71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153510, Ивановская обл., г. Кохма, ул. Ивановская, д.18</w:t>
      </w:r>
    </w:p>
    <w:p w:rsidR="00CB7188" w:rsidRPr="00B929B9" w:rsidRDefault="00CB7188" w:rsidP="00CB718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Телефон/факс:(4932) 93-88-63; (4932) 93-88-64</w:t>
      </w:r>
    </w:p>
    <w:p w:rsidR="00CB7188" w:rsidRPr="00B929B9" w:rsidRDefault="00CB7188" w:rsidP="00AC0876">
      <w:pPr>
        <w:spacing w:before="57"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</w:p>
    <w:p w:rsidR="00AC0876" w:rsidRPr="00B929B9" w:rsidRDefault="00CB7188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К</w:t>
      </w:r>
      <w:r w:rsidR="00AC0876" w:rsidRPr="00B929B9">
        <w:rPr>
          <w:rFonts w:ascii="Times New Roman" w:eastAsia="Times New Roman" w:hAnsi="Times New Roman" w:cs="Times New Roman"/>
          <w:sz w:val="20"/>
          <w:szCs w:val="16"/>
          <w:u w:val="single"/>
          <w:lang w:eastAsia="ru-RU"/>
        </w:rPr>
        <w:t>онтактная информация уполномоченного органа исполнительной власти, осуществляющего надзорные функции за деятельностью сетевой организации: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«Федеральная служба по экологическому, технологическому и атомному надзору»</w:t>
      </w:r>
    </w:p>
    <w:p w:rsidR="00AC0876" w:rsidRPr="00B929B9" w:rsidRDefault="00AC0876" w:rsidP="00AC08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B929B9">
        <w:rPr>
          <w:rFonts w:ascii="Times New Roman" w:eastAsia="Times New Roman" w:hAnsi="Times New Roman" w:cs="Times New Roman"/>
          <w:sz w:val="20"/>
          <w:szCs w:val="16"/>
          <w:lang w:eastAsia="ru-RU"/>
        </w:rPr>
        <w:t>153002, г. Иваново, ул. Калинина, д.9/21.</w:t>
      </w:r>
    </w:p>
    <w:p w:rsidR="00EE2467" w:rsidRPr="00B929B9" w:rsidRDefault="00EE2467">
      <w:pPr>
        <w:rPr>
          <w:sz w:val="28"/>
        </w:rPr>
      </w:pPr>
    </w:p>
    <w:p w:rsidR="00B929B9" w:rsidRPr="00B929B9" w:rsidRDefault="00B929B9">
      <w:pPr>
        <w:rPr>
          <w:sz w:val="28"/>
        </w:rPr>
      </w:pPr>
    </w:p>
    <w:sectPr w:rsidR="00B929B9" w:rsidRPr="00B92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B5B94"/>
    <w:multiLevelType w:val="multilevel"/>
    <w:tmpl w:val="294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20FAA"/>
    <w:multiLevelType w:val="multilevel"/>
    <w:tmpl w:val="4148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76"/>
    <w:rsid w:val="00990E6E"/>
    <w:rsid w:val="00AC0876"/>
    <w:rsid w:val="00B929B9"/>
    <w:rsid w:val="00CB7188"/>
    <w:rsid w:val="00EE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29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929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4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2017-04-26T06:21:00Z</dcterms:created>
  <dcterms:modified xsi:type="dcterms:W3CDTF">2017-10-24T09:09:00Z</dcterms:modified>
</cp:coreProperties>
</file>